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179BDC2F" w:rsidR="00073304" w:rsidRPr="00873857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u w:val="single"/>
              </w:rPr>
            </w:pPr>
            <w:r w:rsidRPr="00873857">
              <w:rPr>
                <w:rFonts w:asciiTheme="majorBidi" w:hAnsiTheme="majorBidi" w:cstheme="majorBidi"/>
                <w:b/>
                <w:bCs/>
                <w:sz w:val="44"/>
                <w:szCs w:val="24"/>
                <w:u w:val="single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6C793067" w:rsidR="00073304" w:rsidRPr="00FE35C9" w:rsidRDefault="008E4C22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8E4C22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N2 </w:t>
            </w: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F</w:t>
            </w:r>
            <w:r w:rsidRPr="008E4C22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illing </w:t>
            </w: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P</w:t>
            </w:r>
            <w:r w:rsidRPr="008E4C22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rocedure</w:t>
            </w:r>
          </w:p>
        </w:tc>
      </w:tr>
    </w:tbl>
    <w:tbl>
      <w:tblPr>
        <w:tblStyle w:val="TableGrid"/>
        <w:tblpPr w:leftFromText="180" w:rightFromText="180" w:vertAnchor="text" w:horzAnchor="margin" w:tblpY="404"/>
        <w:tblW w:w="10223" w:type="dxa"/>
        <w:tblLook w:val="01E0" w:firstRow="1" w:lastRow="1" w:firstColumn="1" w:lastColumn="1" w:noHBand="0" w:noVBand="0"/>
      </w:tblPr>
      <w:tblGrid>
        <w:gridCol w:w="815"/>
        <w:gridCol w:w="1446"/>
        <w:gridCol w:w="3854"/>
        <w:gridCol w:w="1454"/>
        <w:gridCol w:w="1438"/>
        <w:gridCol w:w="1216"/>
      </w:tblGrid>
      <w:tr w:rsidR="001E5C72" w:rsidRPr="00FE35C9" w14:paraId="50C49888" w14:textId="77777777" w:rsidTr="000D1B23">
        <w:trPr>
          <w:trHeight w:val="340"/>
        </w:trPr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14:paraId="48313109" w14:textId="77777777" w:rsidR="001E5C72" w:rsidRPr="00FE35C9" w:rsidRDefault="001E5C72" w:rsidP="001E5C7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22331072" w14:textId="77777777" w:rsidR="001E5C72" w:rsidRPr="00FE35C9" w:rsidRDefault="001E5C72" w:rsidP="001E5C7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54" w:type="dxa"/>
            <w:vAlign w:val="center"/>
          </w:tcPr>
          <w:p w14:paraId="1C0AA7A7" w14:textId="77777777" w:rsidR="001E5C72" w:rsidRPr="00FE35C9" w:rsidRDefault="001E5C72" w:rsidP="001E5C7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14:paraId="5FCE7B05" w14:textId="77777777" w:rsidR="001E5C72" w:rsidRPr="00FE35C9" w:rsidRDefault="001E5C72" w:rsidP="001E5C7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8" w:type="dxa"/>
          </w:tcPr>
          <w:p w14:paraId="0F52685A" w14:textId="77777777" w:rsidR="001E5C72" w:rsidRPr="00FE35C9" w:rsidRDefault="001E5C72" w:rsidP="001E5C7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  <w:vAlign w:val="center"/>
          </w:tcPr>
          <w:p w14:paraId="677A0FFF" w14:textId="77777777" w:rsidR="001E5C72" w:rsidRPr="00FE35C9" w:rsidRDefault="001E5C72" w:rsidP="001E5C72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E5C72" w:rsidRPr="00FE35C9" w14:paraId="49D66BCE" w14:textId="77777777" w:rsidTr="000D1B23">
        <w:trPr>
          <w:trHeight w:val="340"/>
        </w:trPr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14:paraId="211C6CA7" w14:textId="77777777" w:rsidR="001E5C72" w:rsidRPr="00FE35C9" w:rsidRDefault="001E5C72" w:rsidP="001E5C7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5A8114F0" w14:textId="77777777" w:rsidR="001E5C72" w:rsidRPr="00FE35C9" w:rsidRDefault="001E5C72" w:rsidP="001E5C7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54" w:type="dxa"/>
            <w:vAlign w:val="center"/>
          </w:tcPr>
          <w:p w14:paraId="250D25F6" w14:textId="77777777" w:rsidR="001E5C72" w:rsidRPr="00FE35C9" w:rsidRDefault="001E5C72" w:rsidP="001E5C7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4" w:type="dxa"/>
            <w:vAlign w:val="center"/>
          </w:tcPr>
          <w:p w14:paraId="047621FE" w14:textId="77777777" w:rsidR="001E5C72" w:rsidRPr="00FE35C9" w:rsidRDefault="001E5C72" w:rsidP="001E5C7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4302B5A9" w14:textId="77777777" w:rsidR="001E5C72" w:rsidRPr="00FE35C9" w:rsidRDefault="001E5C72" w:rsidP="001E5C7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  <w:vAlign w:val="center"/>
          </w:tcPr>
          <w:p w14:paraId="59FFEA90" w14:textId="77777777" w:rsidR="001E5C72" w:rsidRPr="00FE35C9" w:rsidRDefault="001E5C72" w:rsidP="001E5C7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D1B23" w:rsidRPr="00FE35C9" w14:paraId="66163C23" w14:textId="77777777" w:rsidTr="000D1B23">
        <w:trPr>
          <w:trHeight w:val="340"/>
        </w:trPr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14:paraId="41F2A157" w14:textId="05E2FB1E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446" w:type="dxa"/>
            <w:vAlign w:val="center"/>
          </w:tcPr>
          <w:p w14:paraId="142468D7" w14:textId="49BB25EE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54" w:type="dxa"/>
            <w:vAlign w:val="center"/>
          </w:tcPr>
          <w:p w14:paraId="53D6B89A" w14:textId="6713107F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4" w:type="dxa"/>
            <w:vAlign w:val="center"/>
          </w:tcPr>
          <w:p w14:paraId="6F74C422" w14:textId="616CCB73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F.Baviye</w:t>
            </w:r>
            <w:proofErr w:type="spellEnd"/>
          </w:p>
        </w:tc>
        <w:tc>
          <w:tcPr>
            <w:tcW w:w="1438" w:type="dxa"/>
            <w:vAlign w:val="center"/>
          </w:tcPr>
          <w:p w14:paraId="6D954489" w14:textId="25C5E986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N.Abnavi</w:t>
            </w:r>
            <w:proofErr w:type="spellEnd"/>
          </w:p>
        </w:tc>
        <w:tc>
          <w:tcPr>
            <w:tcW w:w="1216" w:type="dxa"/>
            <w:tcBorders>
              <w:right w:val="single" w:sz="12" w:space="0" w:color="auto"/>
            </w:tcBorders>
            <w:vAlign w:val="center"/>
          </w:tcPr>
          <w:p w14:paraId="12732319" w14:textId="349C7EFD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N.Abnavi</w:t>
            </w:r>
            <w:proofErr w:type="spellEnd"/>
          </w:p>
        </w:tc>
      </w:tr>
      <w:tr w:rsidR="000D1B23" w:rsidRPr="00FE35C9" w14:paraId="003163A4" w14:textId="77777777" w:rsidTr="000D1B23">
        <w:trPr>
          <w:trHeight w:val="340"/>
        </w:trPr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14:paraId="7E0E048B" w14:textId="77777777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6" w:type="dxa"/>
            <w:vAlign w:val="center"/>
          </w:tcPr>
          <w:p w14:paraId="7AD15608" w14:textId="77777777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05-10-2024</w:t>
            </w:r>
          </w:p>
        </w:tc>
        <w:tc>
          <w:tcPr>
            <w:tcW w:w="3854" w:type="dxa"/>
            <w:vAlign w:val="center"/>
          </w:tcPr>
          <w:p w14:paraId="4BDE75C1" w14:textId="77777777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4" w:type="dxa"/>
            <w:vAlign w:val="center"/>
          </w:tcPr>
          <w:p w14:paraId="305848E7" w14:textId="77777777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F.Baviye</w:t>
            </w:r>
            <w:proofErr w:type="spellEnd"/>
          </w:p>
        </w:tc>
        <w:tc>
          <w:tcPr>
            <w:tcW w:w="1438" w:type="dxa"/>
            <w:vAlign w:val="center"/>
          </w:tcPr>
          <w:p w14:paraId="45F18CF3" w14:textId="77777777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N.Abnavi</w:t>
            </w:r>
            <w:proofErr w:type="spellEnd"/>
          </w:p>
        </w:tc>
        <w:tc>
          <w:tcPr>
            <w:tcW w:w="1216" w:type="dxa"/>
            <w:tcBorders>
              <w:right w:val="single" w:sz="12" w:space="0" w:color="auto"/>
            </w:tcBorders>
            <w:vAlign w:val="center"/>
          </w:tcPr>
          <w:p w14:paraId="5EB9279C" w14:textId="77777777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N.Abnavi</w:t>
            </w:r>
            <w:proofErr w:type="spellEnd"/>
          </w:p>
        </w:tc>
      </w:tr>
      <w:tr w:rsidR="000D1B23" w:rsidRPr="00FE35C9" w14:paraId="2B34B4F9" w14:textId="77777777" w:rsidTr="000D1B23">
        <w:trPr>
          <w:trHeight w:val="522"/>
        </w:trPr>
        <w:tc>
          <w:tcPr>
            <w:tcW w:w="8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C84780" w14:textId="77777777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6" w:type="dxa"/>
            <w:tcBorders>
              <w:bottom w:val="single" w:sz="12" w:space="0" w:color="auto"/>
            </w:tcBorders>
            <w:vAlign w:val="center"/>
          </w:tcPr>
          <w:p w14:paraId="7B6BA076" w14:textId="77777777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54" w:type="dxa"/>
            <w:tcBorders>
              <w:bottom w:val="single" w:sz="12" w:space="0" w:color="auto"/>
            </w:tcBorders>
            <w:vAlign w:val="center"/>
          </w:tcPr>
          <w:p w14:paraId="6AF7C876" w14:textId="77777777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4" w:type="dxa"/>
            <w:tcBorders>
              <w:bottom w:val="single" w:sz="12" w:space="0" w:color="auto"/>
            </w:tcBorders>
            <w:vAlign w:val="center"/>
          </w:tcPr>
          <w:p w14:paraId="3ED24FBA" w14:textId="77777777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8" w:type="dxa"/>
            <w:tcBorders>
              <w:bottom w:val="single" w:sz="12" w:space="0" w:color="auto"/>
            </w:tcBorders>
            <w:vAlign w:val="center"/>
          </w:tcPr>
          <w:p w14:paraId="25496BF6" w14:textId="77777777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2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F8A99" w14:textId="77777777" w:rsidR="000D1B23" w:rsidRPr="00FE35C9" w:rsidRDefault="000D1B23" w:rsidP="000D1B2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0D1B23" w:rsidRPr="00FE35C9" w14:paraId="6D9A5F82" w14:textId="77777777" w:rsidTr="001300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0D1B23" w:rsidRPr="00911B65" w:rsidRDefault="000D1B23" w:rsidP="000D1B2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308D958D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4F6877" w14:textId="4A27CC00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0D1B23" w:rsidRPr="00FE35C9" w:rsidRDefault="000D1B23" w:rsidP="000D1B2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21AB81A0" w14:textId="77777777" w:rsidTr="001300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0D1B23" w:rsidRPr="00911B65" w:rsidRDefault="000D1B23" w:rsidP="000D1B2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42AF1984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E9A5B64" w14:textId="28AF0AD6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0D1B23" w:rsidRPr="00FE35C9" w:rsidRDefault="000D1B23" w:rsidP="000D1B2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13B482B8" w14:textId="77777777" w:rsidTr="001300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0D1B23" w:rsidRPr="00911B65" w:rsidRDefault="000D1B23" w:rsidP="000D1B2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5272B362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B06C" w14:textId="440842C1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0D1B23" w:rsidRPr="00FE35C9" w:rsidRDefault="000D1B23" w:rsidP="000D1B2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3B0B82C3" w14:textId="77777777" w:rsidTr="001300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2C80B72B" w:rsidR="000D1B23" w:rsidRPr="00911B65" w:rsidRDefault="000D1B23" w:rsidP="000D1B2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15589145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6CF74F24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0D1B23" w:rsidRPr="00FE35C9" w:rsidRDefault="000D1B23" w:rsidP="000D1B2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043661F6" w14:textId="77777777" w:rsidTr="001300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0D0EFEDD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82AD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FDB81FC" w14:textId="01C9AF4E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</w:rPr>
            </w:pPr>
            <w:r w:rsidRPr="00E82AD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3169789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0D1B23" w:rsidRPr="00FE35C9" w:rsidRDefault="000D1B23" w:rsidP="000D1B2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6816480E" w14:textId="77777777" w:rsidTr="0013007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135412F8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82AD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90710E0" w14:textId="3156EF65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</w:rPr>
            </w:pPr>
            <w:r w:rsidRPr="00E82AD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F1F0F61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0D1B23" w:rsidRPr="00FE35C9" w:rsidRDefault="000D1B23" w:rsidP="000D1B2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6A073387" w14:textId="77777777" w:rsidTr="00AF4CC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4D3F414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0D1B23" w:rsidRPr="00FE35C9" w:rsidRDefault="000D1B23" w:rsidP="000D1B2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0EB820A1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0D1B23" w:rsidRPr="00FE35C9" w:rsidRDefault="000D1B23" w:rsidP="000D1B2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5AE4D0F5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0D1B23" w:rsidRPr="00FE35C9" w:rsidRDefault="000D1B23" w:rsidP="000D1B2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5822848C" w:rsidR="000D1B23" w:rsidRDefault="000D1B23" w:rsidP="000D1B23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0D1B23" w:rsidRPr="00FE35C9" w:rsidRDefault="000D1B23" w:rsidP="000D1B23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0D1B23" w:rsidRPr="00FE35C9" w:rsidRDefault="000D1B23" w:rsidP="000D1B2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3F43D49D" w:rsidR="000D1B23" w:rsidRDefault="000D1B23" w:rsidP="000D1B23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0D1B23" w:rsidRPr="00FE35C9" w:rsidRDefault="000D1B23" w:rsidP="000D1B2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28405823" w:rsidR="000D1B23" w:rsidRDefault="000D1B23" w:rsidP="000D1B23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47820D08" w:rsidR="000D1B23" w:rsidRDefault="000D1B23" w:rsidP="000D1B23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0D1B23" w:rsidRPr="00FE35C9" w:rsidRDefault="000D1B23" w:rsidP="000D1B2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633ACF56" w:rsidR="000D1B23" w:rsidRDefault="000D1B23" w:rsidP="000D1B23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0D1B23" w:rsidRPr="00FE35C9" w:rsidRDefault="000D1B23" w:rsidP="000D1B2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0D1B23" w:rsidRPr="00FE35C9" w:rsidRDefault="000D1B23" w:rsidP="000D1B2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6230F181" w:rsidR="000D1B23" w:rsidRDefault="000D1B23" w:rsidP="000D1B23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0D1B23" w:rsidRPr="00FE35C9" w:rsidRDefault="000D1B23" w:rsidP="000D1B23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0D1B23" w:rsidRPr="00FE35C9" w:rsidRDefault="000D1B23" w:rsidP="000D1B2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0AADC4D9" w:rsidR="000D1B23" w:rsidRDefault="000D1B23" w:rsidP="000D1B23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0D1B23" w:rsidRPr="00FE35C9" w:rsidRDefault="000D1B23" w:rsidP="000D1B23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47656A49" w:rsidR="000D1B23" w:rsidRDefault="000D1B23" w:rsidP="000D1B23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0D1B23" w:rsidRPr="00FE35C9" w:rsidRDefault="000D1B23" w:rsidP="000D1B23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0D1B23" w:rsidRPr="00FE35C9" w:rsidRDefault="000D1B23" w:rsidP="000D1B23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0D1B23" w:rsidRPr="00FE35C9" w:rsidRDefault="000D1B23" w:rsidP="000D1B23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0D1B23" w:rsidRPr="00FE35C9" w:rsidRDefault="000D1B23" w:rsidP="000D1B23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0D1B23" w:rsidRPr="00FE35C9" w:rsidRDefault="000D1B23" w:rsidP="000D1B2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0D1B23" w:rsidRPr="00FE35C9" w:rsidRDefault="000D1B23" w:rsidP="000D1B23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0D1B23" w:rsidRPr="00FE35C9" w:rsidRDefault="000D1B23" w:rsidP="000D1B23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0D1B23" w:rsidRPr="00FE35C9" w:rsidRDefault="000D1B23" w:rsidP="000D1B23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0D1B23" w:rsidRPr="00FE35C9" w:rsidRDefault="000D1B23" w:rsidP="000D1B23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0D1B23" w:rsidRPr="00FE35C9" w:rsidRDefault="000D1B23" w:rsidP="000D1B23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0D1B23" w:rsidRPr="00FE35C9" w:rsidRDefault="000D1B23" w:rsidP="000D1B23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0D1B23" w:rsidRPr="00FE35C9" w:rsidRDefault="000D1B23" w:rsidP="000D1B23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0D1B23" w:rsidRPr="00FE35C9" w:rsidRDefault="000D1B23" w:rsidP="000D1B23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0D1B23" w:rsidRPr="00FE35C9" w:rsidRDefault="000D1B23" w:rsidP="000D1B23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0D1B23" w:rsidRPr="00FE35C9" w:rsidRDefault="000D1B23" w:rsidP="000D1B2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0D1B23" w:rsidRPr="00FE35C9" w:rsidRDefault="000D1B23" w:rsidP="000D1B23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0D1B23" w:rsidRPr="00FE35C9" w:rsidRDefault="000D1B23" w:rsidP="000D1B2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0D1B23" w:rsidRPr="00FE35C9" w:rsidRDefault="000D1B23" w:rsidP="000D1B23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0D1B23" w:rsidRPr="00FE35C9" w:rsidRDefault="000D1B23" w:rsidP="000D1B2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0D1B23" w:rsidRPr="00FE35C9" w:rsidRDefault="000D1B23" w:rsidP="000D1B23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0D1B23" w:rsidRPr="00FE35C9" w:rsidRDefault="000D1B23" w:rsidP="000D1B2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0D1B23" w:rsidRPr="00FE35C9" w:rsidRDefault="000D1B23" w:rsidP="000D1B23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0D1B23" w:rsidRPr="00FE35C9" w:rsidRDefault="000D1B23" w:rsidP="000D1B2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0D1B23" w:rsidRPr="00FE35C9" w:rsidRDefault="000D1B23" w:rsidP="000D1B2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0D1B23" w:rsidRPr="00FE35C9" w:rsidRDefault="000D1B23" w:rsidP="000D1B2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1B23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0D1B23" w:rsidRPr="00FE35C9" w:rsidRDefault="000D1B23" w:rsidP="000D1B2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0D1B23" w:rsidRPr="00FE35C9" w:rsidRDefault="000D1B23" w:rsidP="000D1B2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0D1B23" w:rsidRPr="00FE35C9" w:rsidRDefault="000D1B23" w:rsidP="000D1B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0D1B23" w:rsidRPr="00FE35C9" w:rsidRDefault="000D1B23" w:rsidP="000D1B2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2711D40" w14:textId="704622FB" w:rsidR="000D1B23" w:rsidRDefault="000D1B23" w:rsidP="000D1B23">
      <w:pPr>
        <w:pStyle w:val="TOCHeading"/>
        <w:tabs>
          <w:tab w:val="left" w:pos="2316"/>
        </w:tabs>
      </w:pPr>
    </w:p>
    <w:p w14:paraId="43D53240" w14:textId="77777777" w:rsidR="00DB155D" w:rsidRDefault="004F3461" w:rsidP="00F6573C">
      <w:pPr>
        <w:pStyle w:val="TOC1"/>
        <w:rPr>
          <w:rFonts w:ascii="Arial" w:eastAsia="Times New Roman" w:hAnsi="Arial" w:cstheme="minorHAnsi"/>
          <w:b/>
          <w:bCs/>
          <w:caps/>
          <w:szCs w:val="20"/>
          <w:lang w:bidi="en-US"/>
        </w:rPr>
      </w:pPr>
      <w:r w:rsidRPr="000D1B23">
        <w:br w:type="page"/>
      </w:r>
      <w:r w:rsidR="00DB155D">
        <w:lastRenderedPageBreak/>
        <w:t xml:space="preserve">     </w:t>
      </w:r>
      <w:r w:rsidR="00DB155D" w:rsidRPr="00DB155D">
        <w:rPr>
          <w:rFonts w:ascii="Arial" w:eastAsia="Times New Roman" w:hAnsi="Arial" w:cstheme="minorHAnsi"/>
          <w:b/>
          <w:bCs/>
          <w:caps/>
          <w:szCs w:val="20"/>
          <w:lang w:bidi="en-US"/>
        </w:rPr>
        <w:fldChar w:fldCharType="begin"/>
      </w:r>
      <w:r w:rsidR="00DB155D" w:rsidRPr="00DB155D">
        <w:rPr>
          <w:rFonts w:ascii="Arial" w:eastAsia="Times New Roman" w:hAnsi="Arial" w:cstheme="minorHAnsi"/>
          <w:b/>
          <w:bCs/>
          <w:caps/>
          <w:szCs w:val="20"/>
          <w:lang w:bidi="en-US"/>
        </w:rPr>
        <w:instrText xml:space="preserve"> TOC \o "1-3" \h \z \u </w:instrText>
      </w:r>
      <w:r w:rsidR="00DB155D" w:rsidRPr="00DB155D">
        <w:rPr>
          <w:rFonts w:ascii="Arial" w:eastAsia="Times New Roman" w:hAnsi="Arial" w:cstheme="minorHAnsi"/>
          <w:b/>
          <w:bCs/>
          <w:caps/>
          <w:szCs w:val="20"/>
          <w:lang w:bidi="en-US"/>
        </w:rPr>
        <w:fldChar w:fldCharType="separate"/>
      </w:r>
    </w:p>
    <w:p w14:paraId="0484C9B2" w14:textId="77777777" w:rsidR="00F6573C" w:rsidRDefault="00F6573C" w:rsidP="00F6573C">
      <w:pPr>
        <w:rPr>
          <w:lang w:bidi="en-US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1273207824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noProof/>
          <w:sz w:val="22"/>
          <w:szCs w:val="22"/>
        </w:rPr>
      </w:sdtEndPr>
      <w:sdtContent>
        <w:p w14:paraId="643C2E00" w14:textId="77777777" w:rsidR="00F6573C" w:rsidRPr="005D5768" w:rsidRDefault="00F6573C" w:rsidP="00F6573C">
          <w:pPr>
            <w:pStyle w:val="TOCHeading"/>
            <w:spacing w:line="480" w:lineRule="auto"/>
            <w:rPr>
              <w:rFonts w:asciiTheme="majorBidi" w:hAnsiTheme="majorBidi"/>
              <w:b w:val="0"/>
              <w:bCs w:val="0"/>
              <w:color w:val="auto"/>
            </w:rPr>
          </w:pPr>
          <w:r w:rsidRPr="005D5768">
            <w:rPr>
              <w:rFonts w:asciiTheme="majorBidi" w:hAnsiTheme="majorBidi"/>
              <w:color w:val="auto"/>
            </w:rPr>
            <w:t>Contents</w:t>
          </w:r>
        </w:p>
        <w:p w14:paraId="73BDB1A1" w14:textId="6217AC84" w:rsidR="00F6573C" w:rsidRDefault="00F6573C" w:rsidP="00F6573C">
          <w:pPr>
            <w:pStyle w:val="TOC1"/>
            <w:tabs>
              <w:tab w:val="right" w:leader="dot" w:pos="9350"/>
            </w:tabs>
            <w:spacing w:line="480" w:lineRule="auto"/>
            <w:rPr>
              <w:rFonts w:asciiTheme="minorHAnsi" w:hAnsiTheme="minorHAnsi"/>
              <w:noProof/>
            </w:rPr>
          </w:pPr>
          <w:r w:rsidRPr="008E51D4">
            <w:fldChar w:fldCharType="begin"/>
          </w:r>
          <w:r w:rsidRPr="008E51D4">
            <w:instrText xml:space="preserve"> TOC \o "1-3" \h \z \u </w:instrText>
          </w:r>
          <w:r w:rsidRPr="008E51D4">
            <w:fldChar w:fldCharType="separate"/>
          </w:r>
          <w:hyperlink w:anchor="_Toc43218170" w:history="1">
            <w:r w:rsidRPr="00544FCF">
              <w:rPr>
                <w:rStyle w:val="Hyperlink"/>
                <w:rFonts w:asciiTheme="majorBidi" w:hAnsiTheme="majorBidi"/>
                <w:b/>
                <w:bCs/>
                <w:noProof/>
                <w:shd w:val="clear" w:color="auto" w:fill="FFFFFF"/>
              </w:rPr>
              <w:t>1. Scope</w:t>
            </w:r>
            <w:r>
              <w:rPr>
                <w:noProof/>
                <w:webHidden/>
              </w:rPr>
              <w:tab/>
            </w:r>
            <w:r w:rsidR="00092512">
              <w:rPr>
                <w:noProof/>
                <w:webHidden/>
              </w:rPr>
              <w:t>4</w:t>
            </w:r>
          </w:hyperlink>
        </w:p>
        <w:p w14:paraId="4F546273" w14:textId="25716D63" w:rsidR="00F6573C" w:rsidRDefault="00AA76C8" w:rsidP="00F6573C">
          <w:pPr>
            <w:pStyle w:val="TOC1"/>
            <w:tabs>
              <w:tab w:val="right" w:leader="dot" w:pos="9350"/>
            </w:tabs>
            <w:spacing w:line="480" w:lineRule="auto"/>
            <w:rPr>
              <w:rFonts w:asciiTheme="minorHAnsi" w:hAnsiTheme="minorHAnsi"/>
              <w:noProof/>
            </w:rPr>
          </w:pPr>
          <w:hyperlink w:anchor="_Toc43218171" w:history="1">
            <w:r w:rsidR="00F6573C" w:rsidRPr="00544FCF">
              <w:rPr>
                <w:rStyle w:val="Hyperlink"/>
                <w:rFonts w:asciiTheme="majorBidi" w:eastAsia="Times New Roman" w:hAnsiTheme="majorBidi"/>
                <w:b/>
                <w:bCs/>
                <w:noProof/>
                <w:shd w:val="clear" w:color="auto" w:fill="FFFFFF"/>
              </w:rPr>
              <w:t xml:space="preserve">2. </w:t>
            </w:r>
            <w:r w:rsidR="00F6573C" w:rsidRPr="00544FCF">
              <w:rPr>
                <w:rStyle w:val="Hyperlink"/>
                <w:b/>
                <w:bCs/>
                <w:noProof/>
              </w:rPr>
              <w:t>N2- Purge &amp; Equipment</w:t>
            </w:r>
            <w:r w:rsidR="00F6573C">
              <w:rPr>
                <w:noProof/>
                <w:webHidden/>
              </w:rPr>
              <w:tab/>
            </w:r>
            <w:r w:rsidR="00092512">
              <w:rPr>
                <w:noProof/>
                <w:webHidden/>
              </w:rPr>
              <w:t>4</w:t>
            </w:r>
          </w:hyperlink>
        </w:p>
        <w:p w14:paraId="7351C472" w14:textId="048591FD" w:rsidR="00F6573C" w:rsidRDefault="00AA76C8" w:rsidP="00F6573C">
          <w:pPr>
            <w:pStyle w:val="TOC1"/>
            <w:tabs>
              <w:tab w:val="right" w:leader="dot" w:pos="9350"/>
            </w:tabs>
            <w:spacing w:line="480" w:lineRule="auto"/>
            <w:rPr>
              <w:rFonts w:asciiTheme="minorHAnsi" w:hAnsiTheme="minorHAnsi"/>
              <w:noProof/>
            </w:rPr>
          </w:pPr>
          <w:hyperlink w:anchor="_Toc43218173" w:history="1">
            <w:r w:rsidR="00F6573C" w:rsidRPr="00544FCF">
              <w:rPr>
                <w:rStyle w:val="Hyperlink"/>
                <w:rFonts w:asciiTheme="majorBidi" w:eastAsia="Times New Roman" w:hAnsiTheme="majorBidi"/>
                <w:b/>
                <w:bCs/>
                <w:noProof/>
                <w:shd w:val="clear" w:color="auto" w:fill="FFFFFF"/>
              </w:rPr>
              <w:t xml:space="preserve">3. </w:t>
            </w:r>
            <w:r w:rsidR="00F6573C" w:rsidRPr="00544FCF">
              <w:rPr>
                <w:rStyle w:val="Hyperlink"/>
                <w:rFonts w:asciiTheme="majorBidi" w:hAnsiTheme="majorBidi"/>
                <w:b/>
                <w:bCs/>
                <w:noProof/>
              </w:rPr>
              <w:t>Report</w:t>
            </w:r>
            <w:r w:rsidR="00F6573C">
              <w:rPr>
                <w:noProof/>
                <w:webHidden/>
              </w:rPr>
              <w:tab/>
            </w:r>
            <w:r w:rsidR="00092512">
              <w:rPr>
                <w:noProof/>
                <w:webHidden/>
              </w:rPr>
              <w:t>6</w:t>
            </w:r>
          </w:hyperlink>
        </w:p>
        <w:p w14:paraId="22EA2E1F" w14:textId="77777777" w:rsidR="00F6573C" w:rsidRDefault="00F6573C" w:rsidP="00F6573C">
          <w:pPr>
            <w:spacing w:line="480" w:lineRule="auto"/>
            <w:rPr>
              <w:b/>
              <w:bCs/>
              <w:noProof/>
            </w:rPr>
          </w:pPr>
          <w:r w:rsidRPr="008E51D4">
            <w:rPr>
              <w:b/>
              <w:bCs/>
              <w:noProof/>
            </w:rPr>
            <w:fldChar w:fldCharType="end"/>
          </w:r>
        </w:p>
      </w:sdtContent>
    </w:sdt>
    <w:p w14:paraId="5AABDA3E" w14:textId="77777777" w:rsidR="00F6573C" w:rsidRDefault="00F6573C" w:rsidP="00F6573C">
      <w:pPr>
        <w:rPr>
          <w:lang w:bidi="en-US"/>
        </w:rPr>
      </w:pPr>
    </w:p>
    <w:p w14:paraId="7463682D" w14:textId="77777777" w:rsidR="00F6573C" w:rsidRDefault="00F6573C" w:rsidP="00F6573C">
      <w:pPr>
        <w:rPr>
          <w:lang w:bidi="en-US"/>
        </w:rPr>
      </w:pPr>
    </w:p>
    <w:p w14:paraId="3B56F7FD" w14:textId="77777777" w:rsidR="00F6573C" w:rsidRDefault="00F6573C" w:rsidP="00F6573C">
      <w:pPr>
        <w:rPr>
          <w:lang w:bidi="en-US"/>
        </w:rPr>
      </w:pPr>
    </w:p>
    <w:p w14:paraId="1BDBAA28" w14:textId="77777777" w:rsidR="00F6573C" w:rsidRDefault="00F6573C" w:rsidP="00F6573C">
      <w:pPr>
        <w:rPr>
          <w:lang w:bidi="en-US"/>
        </w:rPr>
      </w:pPr>
    </w:p>
    <w:p w14:paraId="19246391" w14:textId="77777777" w:rsidR="00F6573C" w:rsidRDefault="00F6573C" w:rsidP="00F6573C">
      <w:pPr>
        <w:rPr>
          <w:lang w:bidi="en-US"/>
        </w:rPr>
      </w:pPr>
    </w:p>
    <w:p w14:paraId="0A4F3DD1" w14:textId="77777777" w:rsidR="00F6573C" w:rsidRDefault="00F6573C" w:rsidP="00F6573C">
      <w:pPr>
        <w:rPr>
          <w:lang w:bidi="en-US"/>
        </w:rPr>
      </w:pPr>
    </w:p>
    <w:p w14:paraId="20BB78B3" w14:textId="77777777" w:rsidR="00F6573C" w:rsidRDefault="00F6573C" w:rsidP="00F6573C">
      <w:pPr>
        <w:rPr>
          <w:lang w:bidi="en-US"/>
        </w:rPr>
      </w:pPr>
    </w:p>
    <w:p w14:paraId="7D703B42" w14:textId="77777777" w:rsidR="00F6573C" w:rsidRDefault="00F6573C" w:rsidP="00F6573C">
      <w:pPr>
        <w:rPr>
          <w:lang w:bidi="en-US"/>
        </w:rPr>
      </w:pPr>
    </w:p>
    <w:p w14:paraId="3642F986" w14:textId="77777777" w:rsidR="00F6573C" w:rsidRDefault="00F6573C" w:rsidP="00F6573C">
      <w:pPr>
        <w:rPr>
          <w:lang w:bidi="en-US"/>
        </w:rPr>
      </w:pPr>
    </w:p>
    <w:p w14:paraId="2CF55591" w14:textId="77777777" w:rsidR="00F6573C" w:rsidRPr="00F6573C" w:rsidRDefault="00F6573C" w:rsidP="00F6573C">
      <w:pPr>
        <w:rPr>
          <w:lang w:bidi="en-US"/>
        </w:rPr>
      </w:pPr>
    </w:p>
    <w:p w14:paraId="27CBECD0" w14:textId="708EE14E" w:rsidR="00DB155D" w:rsidRPr="00DB155D" w:rsidRDefault="00DB155D" w:rsidP="00DB155D">
      <w:pPr>
        <w:pStyle w:val="TOC1"/>
        <w:rPr>
          <w:rFonts w:eastAsia="Times New Roman" w:cs="Times New Roman"/>
          <w:sz w:val="24"/>
          <w:szCs w:val="24"/>
        </w:rPr>
      </w:pPr>
      <w:r w:rsidRPr="00DB155D">
        <w:rPr>
          <w:rFonts w:asciiTheme="majorBidi" w:eastAsia="Times New Roman" w:hAnsiTheme="majorBidi" w:cstheme="majorBidi"/>
          <w:noProof/>
          <w:sz w:val="24"/>
          <w:szCs w:val="24"/>
        </w:rPr>
        <w:fldChar w:fldCharType="end"/>
      </w:r>
    </w:p>
    <w:p w14:paraId="177DFA42" w14:textId="6FB48B87" w:rsidR="00DB155D" w:rsidRPr="00DB155D" w:rsidRDefault="00DB155D" w:rsidP="00DB155D">
      <w:pPr>
        <w:widowControl w:val="0"/>
        <w:autoSpaceDE w:val="0"/>
        <w:autoSpaceDN w:val="0"/>
        <w:spacing w:after="0" w:line="240" w:lineRule="auto"/>
        <w:ind w:left="284" w:right="-702"/>
        <w:rPr>
          <w:rFonts w:ascii="Times New Roman" w:eastAsia="Times New Roman" w:hAnsi="Times New Roman" w:cs="Times New Roman"/>
          <w:sz w:val="24"/>
          <w:szCs w:val="24"/>
        </w:rPr>
      </w:pPr>
    </w:p>
    <w:p w14:paraId="56F66FF8" w14:textId="77777777" w:rsidR="00DB155D" w:rsidRPr="00DB155D" w:rsidRDefault="00DB155D" w:rsidP="00DB155D">
      <w:pPr>
        <w:widowControl w:val="0"/>
        <w:autoSpaceDE w:val="0"/>
        <w:autoSpaceDN w:val="0"/>
        <w:spacing w:after="0" w:line="151" w:lineRule="exact"/>
        <w:ind w:left="490"/>
        <w:rPr>
          <w:rFonts w:ascii="Arial" w:eastAsia="Arial" w:hAnsi="Arial" w:cs="Arial"/>
          <w:sz w:val="24"/>
          <w:szCs w:val="24"/>
        </w:rPr>
      </w:pPr>
    </w:p>
    <w:p w14:paraId="47326D90" w14:textId="77777777" w:rsidR="00DB155D" w:rsidRDefault="00DB155D" w:rsidP="00DB155D">
      <w:pPr>
        <w:widowControl w:val="0"/>
        <w:autoSpaceDE w:val="0"/>
        <w:autoSpaceDN w:val="0"/>
        <w:spacing w:after="0" w:line="151" w:lineRule="exact"/>
        <w:ind w:left="490"/>
        <w:rPr>
          <w:rFonts w:ascii="Arial" w:eastAsia="Arial" w:hAnsi="Arial" w:cs="Arial"/>
          <w:sz w:val="24"/>
          <w:szCs w:val="24"/>
        </w:rPr>
      </w:pPr>
    </w:p>
    <w:p w14:paraId="68AAE6E0" w14:textId="77777777" w:rsidR="00F6573C" w:rsidRDefault="00F6573C" w:rsidP="00DB155D">
      <w:pPr>
        <w:widowControl w:val="0"/>
        <w:autoSpaceDE w:val="0"/>
        <w:autoSpaceDN w:val="0"/>
        <w:spacing w:after="0" w:line="151" w:lineRule="exact"/>
        <w:ind w:left="490"/>
        <w:rPr>
          <w:rFonts w:ascii="Arial" w:eastAsia="Arial" w:hAnsi="Arial" w:cs="Arial"/>
          <w:sz w:val="24"/>
          <w:szCs w:val="24"/>
        </w:rPr>
      </w:pPr>
    </w:p>
    <w:p w14:paraId="544BF395" w14:textId="77777777" w:rsidR="00F6573C" w:rsidRDefault="00F6573C" w:rsidP="00DB155D">
      <w:pPr>
        <w:widowControl w:val="0"/>
        <w:autoSpaceDE w:val="0"/>
        <w:autoSpaceDN w:val="0"/>
        <w:spacing w:after="0" w:line="151" w:lineRule="exact"/>
        <w:ind w:left="490"/>
        <w:rPr>
          <w:rFonts w:ascii="Arial" w:eastAsia="Arial" w:hAnsi="Arial" w:cs="Arial"/>
          <w:sz w:val="24"/>
          <w:szCs w:val="24"/>
        </w:rPr>
      </w:pPr>
    </w:p>
    <w:p w14:paraId="3D9C2C2E" w14:textId="77777777" w:rsidR="00F6573C" w:rsidRDefault="00F6573C" w:rsidP="00DB155D">
      <w:pPr>
        <w:widowControl w:val="0"/>
        <w:autoSpaceDE w:val="0"/>
        <w:autoSpaceDN w:val="0"/>
        <w:spacing w:after="0" w:line="151" w:lineRule="exact"/>
        <w:ind w:left="490"/>
        <w:rPr>
          <w:rFonts w:ascii="Arial" w:eastAsia="Arial" w:hAnsi="Arial" w:cs="Arial"/>
          <w:sz w:val="24"/>
          <w:szCs w:val="24"/>
        </w:rPr>
      </w:pPr>
    </w:p>
    <w:p w14:paraId="61573C71" w14:textId="77777777" w:rsidR="00F6573C" w:rsidRPr="00DB155D" w:rsidRDefault="00F6573C" w:rsidP="00DB155D">
      <w:pPr>
        <w:widowControl w:val="0"/>
        <w:autoSpaceDE w:val="0"/>
        <w:autoSpaceDN w:val="0"/>
        <w:spacing w:after="0" w:line="151" w:lineRule="exact"/>
        <w:ind w:left="490"/>
        <w:rPr>
          <w:rFonts w:ascii="Arial" w:eastAsia="Arial" w:hAnsi="Arial" w:cs="Arial"/>
          <w:sz w:val="24"/>
          <w:szCs w:val="24"/>
        </w:rPr>
      </w:pPr>
    </w:p>
    <w:p w14:paraId="74A1F970" w14:textId="77777777" w:rsidR="00DB155D" w:rsidRPr="00DB155D" w:rsidRDefault="00DB155D" w:rsidP="00DB155D">
      <w:pPr>
        <w:widowControl w:val="0"/>
        <w:autoSpaceDE w:val="0"/>
        <w:autoSpaceDN w:val="0"/>
        <w:spacing w:after="0" w:line="151" w:lineRule="exact"/>
        <w:ind w:left="490"/>
        <w:rPr>
          <w:rFonts w:ascii="Arial" w:eastAsia="Arial" w:hAnsi="Arial" w:cs="Arial"/>
          <w:sz w:val="24"/>
          <w:szCs w:val="24"/>
        </w:rPr>
      </w:pPr>
    </w:p>
    <w:p w14:paraId="04EB2C83" w14:textId="77777777" w:rsidR="00DB155D" w:rsidRPr="00DB155D" w:rsidRDefault="00DB155D" w:rsidP="00DB155D">
      <w:pPr>
        <w:widowControl w:val="0"/>
        <w:autoSpaceDE w:val="0"/>
        <w:autoSpaceDN w:val="0"/>
        <w:spacing w:after="0" w:line="151" w:lineRule="exact"/>
        <w:ind w:left="490"/>
        <w:rPr>
          <w:rFonts w:ascii="Arial" w:eastAsia="Arial" w:hAnsi="Arial" w:cs="Arial"/>
          <w:sz w:val="24"/>
          <w:szCs w:val="24"/>
        </w:rPr>
      </w:pPr>
    </w:p>
    <w:p w14:paraId="4D174394" w14:textId="77777777" w:rsidR="00DB155D" w:rsidRPr="00DB155D" w:rsidRDefault="00DB155D" w:rsidP="00DB155D">
      <w:pPr>
        <w:widowControl w:val="0"/>
        <w:autoSpaceDE w:val="0"/>
        <w:autoSpaceDN w:val="0"/>
        <w:spacing w:after="0" w:line="151" w:lineRule="exact"/>
        <w:ind w:left="490"/>
        <w:rPr>
          <w:rFonts w:ascii="Arial" w:eastAsia="Arial" w:hAnsi="Arial" w:cs="Arial"/>
          <w:sz w:val="24"/>
          <w:szCs w:val="24"/>
        </w:rPr>
      </w:pPr>
    </w:p>
    <w:p w14:paraId="10886221" w14:textId="77777777" w:rsidR="00DB155D" w:rsidRPr="00DB155D" w:rsidRDefault="00DB155D" w:rsidP="00DB155D">
      <w:pPr>
        <w:widowControl w:val="0"/>
        <w:autoSpaceDE w:val="0"/>
        <w:autoSpaceDN w:val="0"/>
        <w:spacing w:after="0" w:line="151" w:lineRule="exact"/>
        <w:ind w:left="490"/>
        <w:rPr>
          <w:rFonts w:ascii="Arial" w:eastAsia="Arial" w:hAnsi="Arial" w:cs="Arial"/>
          <w:sz w:val="24"/>
          <w:szCs w:val="24"/>
        </w:rPr>
      </w:pPr>
    </w:p>
    <w:p w14:paraId="5B294BE7" w14:textId="77777777" w:rsidR="00DB155D" w:rsidRPr="00DB155D" w:rsidRDefault="00DB155D" w:rsidP="00DB155D">
      <w:pPr>
        <w:widowControl w:val="0"/>
        <w:autoSpaceDE w:val="0"/>
        <w:autoSpaceDN w:val="0"/>
        <w:spacing w:after="0" w:line="151" w:lineRule="exact"/>
        <w:ind w:left="490"/>
        <w:rPr>
          <w:rFonts w:ascii="Arial" w:eastAsia="Arial" w:hAnsi="Arial" w:cs="Arial"/>
          <w:sz w:val="24"/>
          <w:szCs w:val="24"/>
        </w:rPr>
      </w:pPr>
    </w:p>
    <w:p w14:paraId="5A51B46F" w14:textId="77777777" w:rsidR="00DB155D" w:rsidRPr="00DB155D" w:rsidRDefault="00DB155D" w:rsidP="00DB155D">
      <w:pPr>
        <w:widowControl w:val="0"/>
        <w:autoSpaceDE w:val="0"/>
        <w:autoSpaceDN w:val="0"/>
        <w:spacing w:after="0" w:line="151" w:lineRule="exact"/>
        <w:ind w:left="490"/>
        <w:rPr>
          <w:rFonts w:ascii="Arial" w:eastAsia="Arial" w:hAnsi="Arial" w:cs="Arial"/>
          <w:sz w:val="24"/>
          <w:szCs w:val="24"/>
        </w:rPr>
      </w:pPr>
    </w:p>
    <w:p w14:paraId="0B83E629" w14:textId="77777777" w:rsidR="00DB155D" w:rsidRPr="00DB155D" w:rsidRDefault="00DB155D" w:rsidP="00DB155D">
      <w:pPr>
        <w:widowControl w:val="0"/>
        <w:autoSpaceDE w:val="0"/>
        <w:autoSpaceDN w:val="0"/>
        <w:spacing w:after="0" w:line="151" w:lineRule="exact"/>
        <w:ind w:left="490"/>
        <w:rPr>
          <w:rFonts w:ascii="Arial" w:eastAsia="Arial" w:hAnsi="Arial" w:cs="Arial"/>
          <w:sz w:val="24"/>
          <w:szCs w:val="24"/>
        </w:rPr>
      </w:pPr>
    </w:p>
    <w:p w14:paraId="1A7B3E7E" w14:textId="77777777" w:rsidR="00DB155D" w:rsidRPr="00DB155D" w:rsidRDefault="00DB155D" w:rsidP="00F6573C">
      <w:pPr>
        <w:widowControl w:val="0"/>
        <w:autoSpaceDE w:val="0"/>
        <w:autoSpaceDN w:val="0"/>
        <w:spacing w:after="0" w:line="151" w:lineRule="exact"/>
        <w:rPr>
          <w:rFonts w:ascii="Arial" w:eastAsia="Arial" w:hAnsi="Arial" w:cs="Arial"/>
          <w:sz w:val="14"/>
          <w:szCs w:val="14"/>
        </w:rPr>
      </w:pPr>
    </w:p>
    <w:p w14:paraId="17DC5E58" w14:textId="77777777" w:rsidR="00DB155D" w:rsidRPr="00DB155D" w:rsidRDefault="00DB155D" w:rsidP="00DB155D">
      <w:pPr>
        <w:widowControl w:val="0"/>
        <w:autoSpaceDE w:val="0"/>
        <w:autoSpaceDN w:val="0"/>
        <w:spacing w:after="0" w:line="151" w:lineRule="exact"/>
        <w:rPr>
          <w:rFonts w:ascii="Arial" w:eastAsia="Arial" w:hAnsi="Arial" w:cs="Arial"/>
          <w:sz w:val="14"/>
          <w:szCs w:val="14"/>
        </w:rPr>
      </w:pPr>
    </w:p>
    <w:p w14:paraId="7C1C2371" w14:textId="77777777" w:rsidR="00DB155D" w:rsidRPr="00DB155D" w:rsidRDefault="00DB155D" w:rsidP="00DB155D">
      <w:pPr>
        <w:widowControl w:val="0"/>
        <w:numPr>
          <w:ilvl w:val="0"/>
          <w:numId w:val="46"/>
        </w:numPr>
        <w:autoSpaceDE w:val="0"/>
        <w:autoSpaceDN w:val="0"/>
        <w:spacing w:after="0" w:line="360" w:lineRule="auto"/>
        <w:ind w:right="1351"/>
        <w:jc w:val="lowKashida"/>
        <w:outlineLvl w:val="0"/>
        <w:rPr>
          <w:rFonts w:asciiTheme="majorBidi" w:eastAsia="Times New Roman" w:hAnsiTheme="majorBidi" w:cs="Times New Roman"/>
          <w:sz w:val="28"/>
          <w:szCs w:val="28"/>
          <w:shd w:val="clear" w:color="auto" w:fill="FFFFFF"/>
        </w:rPr>
      </w:pPr>
      <w:r w:rsidRPr="00DB155D">
        <w:rPr>
          <w:rFonts w:asciiTheme="majorBidi" w:eastAsia="Times New Roman" w:hAnsiTheme="majorBidi" w:cs="Times New Roman"/>
          <w:b/>
          <w:bCs/>
          <w:sz w:val="28"/>
          <w:szCs w:val="28"/>
          <w:shd w:val="clear" w:color="auto" w:fill="FFFFFF"/>
        </w:rPr>
        <w:lastRenderedPageBreak/>
        <w:t>Scope</w:t>
      </w:r>
    </w:p>
    <w:p w14:paraId="17FD498B" w14:textId="44157E52" w:rsidR="00F6573C" w:rsidRDefault="00F6573C" w:rsidP="00F6573C">
      <w:pPr>
        <w:autoSpaceDE w:val="0"/>
        <w:autoSpaceDN w:val="0"/>
        <w:adjustRightInd w:val="0"/>
        <w:spacing w:line="360" w:lineRule="auto"/>
        <w:ind w:left="239" w:right="-797"/>
        <w:jc w:val="both"/>
        <w:rPr>
          <w:rStyle w:val="fontstyle21"/>
          <w:rFonts w:asciiTheme="majorBidi" w:hAnsiTheme="majorBidi" w:cstheme="majorBidi"/>
        </w:rPr>
      </w:pPr>
      <w:bookmarkStart w:id="1" w:name="_Toc29631853"/>
      <w:r w:rsidRPr="00F30654">
        <w:rPr>
          <w:rStyle w:val="fontstyle01"/>
        </w:rPr>
        <w:t>This procedure covers requirements of N2 purging for internal preservation of</w:t>
      </w:r>
      <w:r w:rsidRPr="00F6573C">
        <w:rPr>
          <w:rFonts w:ascii="Calibri" w:hAnsi="Calibri" w:cs="Calibri"/>
          <w:color w:val="000000"/>
        </w:rPr>
        <w:t xml:space="preserve"> </w:t>
      </w:r>
      <w:r w:rsidRPr="00F30654">
        <w:rPr>
          <w:rStyle w:val="fontstyle01"/>
        </w:rPr>
        <w:t xml:space="preserve">equipment during transportation and long-term preservation, which will be </w:t>
      </w:r>
      <w:r w:rsidRPr="00053C99">
        <w:rPr>
          <w:rStyle w:val="fontstyle01"/>
        </w:rPr>
        <w:t xml:space="preserve">applied </w:t>
      </w:r>
      <w:r w:rsidRPr="00F6573C">
        <w:rPr>
          <w:rStyle w:val="fontstyle01"/>
          <w:rFonts w:asciiTheme="majorBidi" w:hAnsiTheme="majorBidi" w:cstheme="majorBidi"/>
        </w:rPr>
        <w:t>for</w:t>
      </w:r>
      <w:r w:rsidRPr="00F6573C">
        <w:rPr>
          <w:rStyle w:val="fontstyle01"/>
          <w:rFonts w:asciiTheme="majorBidi" w:hAnsiTheme="majorBidi" w:cstheme="majorBidi"/>
          <w:b/>
          <w:bCs/>
        </w:rPr>
        <w:t xml:space="preserve"> </w:t>
      </w:r>
      <w:proofErr w:type="spellStart"/>
      <w:r w:rsidRPr="00F6573C">
        <w:rPr>
          <w:rStyle w:val="fontstyle21"/>
          <w:rFonts w:asciiTheme="majorBidi" w:hAnsiTheme="majorBidi" w:cstheme="majorBidi"/>
        </w:rPr>
        <w:t>Toase-ehe</w:t>
      </w:r>
      <w:proofErr w:type="spellEnd"/>
      <w:r w:rsidRPr="00F6573C">
        <w:rPr>
          <w:rStyle w:val="fontstyle21"/>
          <w:rFonts w:asciiTheme="majorBidi" w:hAnsiTheme="majorBidi" w:cstheme="majorBidi"/>
        </w:rPr>
        <w:t xml:space="preserve"> Park </w:t>
      </w:r>
      <w:proofErr w:type="spellStart"/>
      <w:r w:rsidRPr="00F6573C">
        <w:rPr>
          <w:rStyle w:val="fontstyle21"/>
          <w:rFonts w:asciiTheme="majorBidi" w:hAnsiTheme="majorBidi" w:cstheme="majorBidi"/>
        </w:rPr>
        <w:t>Sanati</w:t>
      </w:r>
      <w:proofErr w:type="spellEnd"/>
      <w:r w:rsidRPr="00F6573C">
        <w:rPr>
          <w:rStyle w:val="fontstyle21"/>
          <w:rFonts w:asciiTheme="majorBidi" w:hAnsiTheme="majorBidi" w:cstheme="majorBidi"/>
        </w:rPr>
        <w:t xml:space="preserve"> </w:t>
      </w:r>
      <w:proofErr w:type="spellStart"/>
      <w:r w:rsidRPr="00F6573C">
        <w:rPr>
          <w:rStyle w:val="fontstyle21"/>
          <w:rFonts w:asciiTheme="majorBidi" w:hAnsiTheme="majorBidi" w:cstheme="majorBidi"/>
        </w:rPr>
        <w:t>Gohar</w:t>
      </w:r>
      <w:proofErr w:type="spellEnd"/>
      <w:r w:rsidRPr="00F6573C">
        <w:rPr>
          <w:rStyle w:val="fontstyle21"/>
          <w:rFonts w:asciiTheme="majorBidi" w:hAnsiTheme="majorBidi" w:cstheme="majorBidi"/>
        </w:rPr>
        <w:t xml:space="preserve"> </w:t>
      </w:r>
      <w:proofErr w:type="spellStart"/>
      <w:r w:rsidRPr="00F6573C">
        <w:rPr>
          <w:rStyle w:val="fontstyle21"/>
          <w:rFonts w:asciiTheme="majorBidi" w:hAnsiTheme="majorBidi" w:cstheme="majorBidi"/>
        </w:rPr>
        <w:t>Ofogh</w:t>
      </w:r>
      <w:proofErr w:type="spellEnd"/>
      <w:r w:rsidRPr="00F6573C">
        <w:rPr>
          <w:rStyle w:val="fontstyle21"/>
          <w:rFonts w:asciiTheme="majorBidi" w:hAnsiTheme="majorBidi" w:cstheme="majorBidi"/>
        </w:rPr>
        <w:t xml:space="preserve"> Petrochemical company heat exchangers. </w:t>
      </w:r>
    </w:p>
    <w:p w14:paraId="73876225" w14:textId="741D89C8" w:rsidR="00F6573C" w:rsidRDefault="00F6573C" w:rsidP="00F6573C">
      <w:pPr>
        <w:autoSpaceDE w:val="0"/>
        <w:autoSpaceDN w:val="0"/>
        <w:adjustRightInd w:val="0"/>
        <w:spacing w:line="360" w:lineRule="auto"/>
        <w:ind w:left="239" w:right="-797"/>
        <w:jc w:val="both"/>
        <w:rPr>
          <w:rStyle w:val="fontstyle01"/>
        </w:rPr>
      </w:pPr>
      <w:r w:rsidRPr="00F30654">
        <w:rPr>
          <w:rStyle w:val="fontstyle01"/>
        </w:rPr>
        <w:t>This procedure describes general rules and conditions to purge N2 gas into the equipment</w:t>
      </w:r>
      <w:r w:rsidRPr="00F6573C">
        <w:rPr>
          <w:rFonts w:ascii="Calibri" w:hAnsi="Calibri" w:cs="Calibri"/>
          <w:color w:val="000000"/>
        </w:rPr>
        <w:br/>
      </w:r>
      <w:r w:rsidRPr="00F30654">
        <w:rPr>
          <w:rStyle w:val="fontstyle01"/>
        </w:rPr>
        <w:t>internal surfaces for preventing internal metal surfaces to oxidize and efficiently prevent</w:t>
      </w:r>
      <w:r w:rsidRPr="00F6573C">
        <w:rPr>
          <w:rFonts w:ascii="Calibri" w:hAnsi="Calibri" w:cs="Calibri"/>
          <w:color w:val="000000"/>
        </w:rPr>
        <w:br/>
      </w:r>
      <w:r w:rsidRPr="00F30654">
        <w:rPr>
          <w:rStyle w:val="fontstyle01"/>
        </w:rPr>
        <w:t>equipment from rusting during transportation and long periods of storage prior to start up.</w:t>
      </w:r>
    </w:p>
    <w:p w14:paraId="76E17389" w14:textId="59CDEBBD" w:rsidR="00F6573C" w:rsidRPr="008E4C22" w:rsidRDefault="00F6573C" w:rsidP="00F6573C">
      <w:pPr>
        <w:autoSpaceDE w:val="0"/>
        <w:autoSpaceDN w:val="0"/>
        <w:adjustRightInd w:val="0"/>
        <w:spacing w:line="360" w:lineRule="auto"/>
        <w:ind w:left="239"/>
        <w:rPr>
          <w:rStyle w:val="fontstyle01"/>
          <w:b/>
          <w:bCs/>
          <w:sz w:val="28"/>
          <w:szCs w:val="28"/>
        </w:rPr>
      </w:pPr>
      <w:r w:rsidRPr="008E4C22">
        <w:rPr>
          <w:rStyle w:val="fontstyle01"/>
          <w:b/>
          <w:bCs/>
          <w:sz w:val="28"/>
          <w:szCs w:val="28"/>
        </w:rPr>
        <w:t>2. N2- Purge &amp; Equipment</w:t>
      </w:r>
    </w:p>
    <w:p w14:paraId="332066F2" w14:textId="45703456" w:rsidR="00F6573C" w:rsidRPr="00F6573C" w:rsidRDefault="00F6573C" w:rsidP="00F6573C">
      <w:pPr>
        <w:autoSpaceDE w:val="0"/>
        <w:autoSpaceDN w:val="0"/>
        <w:adjustRightInd w:val="0"/>
        <w:spacing w:line="360" w:lineRule="auto"/>
        <w:ind w:left="239" w:right="-797"/>
        <w:jc w:val="both"/>
        <w:rPr>
          <w:rStyle w:val="fontstyle01"/>
        </w:rPr>
      </w:pPr>
      <w:r w:rsidRPr="00F6573C">
        <w:rPr>
          <w:rStyle w:val="fontstyle01"/>
        </w:rPr>
        <w:t>After the completion of fabrication process and before dispatching the equipment at site, all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C.S. equipment internal volume shall be filled by nitrogen gas as it is described below and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suitably packed based on project packing specification.</w:t>
      </w:r>
    </w:p>
    <w:p w14:paraId="20F89787" w14:textId="57AA568D" w:rsidR="00F6573C" w:rsidRPr="00F6573C" w:rsidRDefault="00F6573C" w:rsidP="00F6573C">
      <w:pPr>
        <w:autoSpaceDE w:val="0"/>
        <w:autoSpaceDN w:val="0"/>
        <w:adjustRightInd w:val="0"/>
        <w:spacing w:line="360" w:lineRule="auto"/>
        <w:ind w:left="239" w:right="-797"/>
        <w:jc w:val="both"/>
        <w:rPr>
          <w:rStyle w:val="fontstyle01"/>
        </w:rPr>
      </w:pPr>
      <w:r w:rsidRPr="00F6573C">
        <w:rPr>
          <w:rStyle w:val="fontstyle01"/>
        </w:rPr>
        <w:t>2.1- When the hydrostatic test has been successfully conducted, all equipment shall be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drained, dried and cleaned. Afterwards all openings shall be closed with suitable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blinds and gaskets, so that the N2-gas which fills the equipment internal not able to escape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from any un-wanted orifice.</w:t>
      </w:r>
    </w:p>
    <w:p w14:paraId="3EDE270D" w14:textId="71956918" w:rsidR="00F6573C" w:rsidRPr="00F6573C" w:rsidRDefault="00F6573C" w:rsidP="00F6573C">
      <w:pPr>
        <w:autoSpaceDE w:val="0"/>
        <w:autoSpaceDN w:val="0"/>
        <w:adjustRightInd w:val="0"/>
        <w:spacing w:line="360" w:lineRule="auto"/>
        <w:ind w:left="239" w:right="-797"/>
        <w:jc w:val="both"/>
        <w:rPr>
          <w:rStyle w:val="fontstyle01"/>
        </w:rPr>
      </w:pPr>
      <w:r w:rsidRPr="00F6573C">
        <w:rPr>
          <w:rStyle w:val="fontstyle01"/>
        </w:rPr>
        <w:t>2.2- Before Nitrogen filling equipment inside will be visually checked for any residue dirt, oil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residue, metal chips or other forms of contamination, residue water or any contamination,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derbies, oil and grease shall be cleaned and remained water shall be dried with compressed air.</w:t>
      </w:r>
    </w:p>
    <w:p w14:paraId="6B78420A" w14:textId="7EFC2602" w:rsidR="00F6573C" w:rsidRPr="00F6573C" w:rsidRDefault="00F6573C" w:rsidP="00F6573C">
      <w:pPr>
        <w:autoSpaceDE w:val="0"/>
        <w:autoSpaceDN w:val="0"/>
        <w:adjustRightInd w:val="0"/>
        <w:spacing w:line="360" w:lineRule="auto"/>
        <w:ind w:left="239" w:right="-797"/>
        <w:jc w:val="both"/>
        <w:rPr>
          <w:rStyle w:val="fontstyle01"/>
        </w:rPr>
      </w:pPr>
      <w:r w:rsidRPr="00F6573C">
        <w:rPr>
          <w:rStyle w:val="fontstyle01"/>
        </w:rPr>
        <w:t>2.3. - After all necessary instruments have been checked, the nitrogen gas shall be inserted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through one of the bottom nozzles already prepared, the remaining nozzles shall be air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tightened except the one upper which will act as the air drainage nozzle.</w:t>
      </w:r>
    </w:p>
    <w:p w14:paraId="42FB2B60" w14:textId="1901ECB2" w:rsidR="00F6573C" w:rsidRPr="00F6573C" w:rsidRDefault="00F6573C" w:rsidP="00F6573C">
      <w:pPr>
        <w:autoSpaceDE w:val="0"/>
        <w:autoSpaceDN w:val="0"/>
        <w:adjustRightInd w:val="0"/>
        <w:spacing w:line="360" w:lineRule="auto"/>
        <w:ind w:left="239" w:right="-938"/>
        <w:jc w:val="both"/>
        <w:rPr>
          <w:rStyle w:val="fontstyle01"/>
        </w:rPr>
      </w:pPr>
      <w:r w:rsidRPr="00F6573C">
        <w:rPr>
          <w:rStyle w:val="fontstyle01"/>
        </w:rPr>
        <w:t>2.4- While nitrogen gas being inserted into the equipment, the remaining air content within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the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equipment will forcefully be exhausted through the designated drainage nozzle , so, gradually all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the air exist within the equipment will be evacuated, to assure a complete air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evacuation is to simply release the internal gas from vent hole and light a match in front of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the escaping gas, if the light goes off, then no air is trapped inside the equipment, therefore,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what is coming out is pure Nitrogen.</w:t>
      </w:r>
    </w:p>
    <w:p w14:paraId="38BBD4D2" w14:textId="77777777" w:rsidR="00F6573C" w:rsidRPr="00F6573C" w:rsidRDefault="00F6573C" w:rsidP="00F6573C">
      <w:pPr>
        <w:autoSpaceDE w:val="0"/>
        <w:autoSpaceDN w:val="0"/>
        <w:adjustRightInd w:val="0"/>
        <w:spacing w:line="360" w:lineRule="auto"/>
        <w:ind w:left="239"/>
        <w:rPr>
          <w:rStyle w:val="fontstyle01"/>
        </w:rPr>
      </w:pPr>
    </w:p>
    <w:p w14:paraId="71C51C9D" w14:textId="7685F2E5" w:rsidR="00F6573C" w:rsidRPr="00F6573C" w:rsidRDefault="00F6573C" w:rsidP="00F6573C">
      <w:pPr>
        <w:autoSpaceDE w:val="0"/>
        <w:autoSpaceDN w:val="0"/>
        <w:adjustRightInd w:val="0"/>
        <w:spacing w:line="360" w:lineRule="auto"/>
        <w:ind w:left="284" w:right="-938"/>
        <w:rPr>
          <w:rStyle w:val="fontstyle01"/>
        </w:rPr>
      </w:pPr>
      <w:r w:rsidRPr="00F6573C">
        <w:rPr>
          <w:rStyle w:val="fontstyle01"/>
        </w:rPr>
        <w:lastRenderedPageBreak/>
        <w:t>2.5- After all the above procedure is fulfilled, the air drainage nozzle shall be fully tightened to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avoid any un-wanted leakage.</w:t>
      </w:r>
    </w:p>
    <w:p w14:paraId="174E1EE9" w14:textId="78725B67" w:rsidR="00F6573C" w:rsidRDefault="00F6573C" w:rsidP="000D1B23">
      <w:pPr>
        <w:autoSpaceDE w:val="0"/>
        <w:autoSpaceDN w:val="0"/>
        <w:adjustRightInd w:val="0"/>
        <w:spacing w:line="360" w:lineRule="auto"/>
        <w:ind w:left="284" w:right="-938"/>
        <w:rPr>
          <w:rStyle w:val="fontstyle01"/>
        </w:rPr>
      </w:pPr>
      <w:r w:rsidRPr="00F6573C">
        <w:rPr>
          <w:rStyle w:val="fontstyle01"/>
        </w:rPr>
        <w:t>2.6- After one of the pressure gauges is mounted, fill-in the equipment with cleaned N2-gas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 xml:space="preserve">the way that filled gas pressure raises to about </w:t>
      </w:r>
      <w:r w:rsidR="000D1B23" w:rsidRPr="000D1B23">
        <w:rPr>
          <w:rStyle w:val="fontstyle01"/>
          <w:i/>
          <w:iCs/>
          <w:color w:val="FF0000"/>
          <w:u w:val="single"/>
        </w:rPr>
        <w:t>1</w:t>
      </w:r>
      <w:r w:rsidRPr="00F6573C">
        <w:rPr>
          <w:rStyle w:val="fontstyle01"/>
        </w:rPr>
        <w:t xml:space="preserve"> </w:t>
      </w:r>
      <w:proofErr w:type="spellStart"/>
      <w:r w:rsidRPr="00F6573C">
        <w:rPr>
          <w:rStyle w:val="fontstyle01"/>
        </w:rPr>
        <w:t>barg</w:t>
      </w:r>
      <w:proofErr w:type="spellEnd"/>
      <w:r w:rsidRPr="00F6573C">
        <w:rPr>
          <w:rStyle w:val="fontstyle01"/>
        </w:rPr>
        <w:t>.</w:t>
      </w:r>
    </w:p>
    <w:p w14:paraId="2FFBDFA6" w14:textId="36359665" w:rsidR="000D1B23" w:rsidRPr="000D1B23" w:rsidRDefault="000D1B23" w:rsidP="000D1B23">
      <w:pPr>
        <w:autoSpaceDE w:val="0"/>
        <w:autoSpaceDN w:val="0"/>
        <w:adjustRightInd w:val="0"/>
        <w:spacing w:line="360" w:lineRule="auto"/>
        <w:ind w:left="284" w:right="-938"/>
        <w:rPr>
          <w:rStyle w:val="fontstyle01"/>
          <w:i/>
          <w:iCs/>
          <w:color w:val="FF0000"/>
          <w:u w:val="single"/>
        </w:rPr>
      </w:pPr>
      <w:r>
        <w:rPr>
          <w:rStyle w:val="fontstyle01"/>
          <w:i/>
          <w:iCs/>
          <w:color w:val="FF0000"/>
          <w:u w:val="single"/>
        </w:rPr>
        <w:t>N</w:t>
      </w:r>
      <w:r w:rsidRPr="000D1B23">
        <w:rPr>
          <w:rStyle w:val="fontstyle01"/>
          <w:i/>
          <w:iCs/>
          <w:color w:val="FF0000"/>
          <w:u w:val="single"/>
        </w:rPr>
        <w:t>ote</w:t>
      </w:r>
      <w:r>
        <w:rPr>
          <w:rStyle w:val="fontstyle01"/>
          <w:i/>
          <w:iCs/>
          <w:color w:val="FF0000"/>
          <w:u w:val="single"/>
        </w:rPr>
        <w:t>:</w:t>
      </w:r>
      <w:r w:rsidRPr="000D1B23">
        <w:rPr>
          <w:rStyle w:val="fontstyle01"/>
          <w:i/>
          <w:iCs/>
          <w:color w:val="FF0000"/>
          <w:u w:val="single"/>
        </w:rPr>
        <w:t xml:space="preserve"> </w:t>
      </w:r>
      <w:r>
        <w:rPr>
          <w:rStyle w:val="fontstyle01"/>
          <w:i/>
          <w:iCs/>
          <w:color w:val="FF0000"/>
          <w:u w:val="single"/>
        </w:rPr>
        <w:t>O</w:t>
      </w:r>
      <w:r w:rsidRPr="000D1B23">
        <w:rPr>
          <w:rStyle w:val="fontstyle01"/>
          <w:i/>
          <w:iCs/>
          <w:color w:val="FF0000"/>
          <w:u w:val="single"/>
        </w:rPr>
        <w:t>ne pressure gauge on shell and one pressure gauge on tube side for each chiller shall be supplied and delivered along with the exchanger.</w:t>
      </w:r>
    </w:p>
    <w:p w14:paraId="026CC94C" w14:textId="5C5CCFEA" w:rsidR="00F6573C" w:rsidRPr="00F6573C" w:rsidRDefault="00F6573C" w:rsidP="00F6573C">
      <w:pPr>
        <w:autoSpaceDE w:val="0"/>
        <w:autoSpaceDN w:val="0"/>
        <w:adjustRightInd w:val="0"/>
        <w:spacing w:line="360" w:lineRule="auto"/>
        <w:ind w:left="284" w:right="-1080"/>
        <w:rPr>
          <w:rStyle w:val="fontstyle01"/>
        </w:rPr>
      </w:pPr>
      <w:r w:rsidRPr="00F6573C">
        <w:rPr>
          <w:rStyle w:val="fontstyle01"/>
        </w:rPr>
        <w:t>2.7- After making sure that equipment internal is completely with N2 gas, feeding entrance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shall be tightened and pack as it was mentioned.</w:t>
      </w:r>
    </w:p>
    <w:p w14:paraId="08D05E86" w14:textId="6FA13B37" w:rsidR="00F6573C" w:rsidRPr="00F6573C" w:rsidRDefault="00F6573C" w:rsidP="00F6573C">
      <w:pPr>
        <w:autoSpaceDE w:val="0"/>
        <w:autoSpaceDN w:val="0"/>
        <w:adjustRightInd w:val="0"/>
        <w:spacing w:line="360" w:lineRule="auto"/>
        <w:ind w:left="239" w:right="-938"/>
        <w:rPr>
          <w:rStyle w:val="fontstyle01"/>
        </w:rPr>
      </w:pPr>
      <w:r w:rsidRPr="00F6573C">
        <w:rPr>
          <w:rStyle w:val="fontstyle01"/>
        </w:rPr>
        <w:t>2.8- As the Nitrogen is normally kept in pressured liquid form in portable capsules, special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precautions shall be considered to prevent freezing especially in small diameter branch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connections while filling. Visual inspection shall conduct after N2 purge.</w:t>
      </w:r>
    </w:p>
    <w:p w14:paraId="79B8DF6E" w14:textId="27F90888" w:rsidR="00F6573C" w:rsidRDefault="00F6573C" w:rsidP="00F6573C">
      <w:pPr>
        <w:autoSpaceDE w:val="0"/>
        <w:autoSpaceDN w:val="0"/>
        <w:adjustRightInd w:val="0"/>
        <w:spacing w:line="360" w:lineRule="auto"/>
        <w:ind w:left="239" w:right="-797"/>
        <w:rPr>
          <w:rStyle w:val="fontstyle01"/>
        </w:rPr>
      </w:pPr>
      <w:r w:rsidRPr="00F6573C">
        <w:rPr>
          <w:rStyle w:val="fontstyle01"/>
        </w:rPr>
        <w:t>2.9- Afterward the equipment is ready for transport to the site.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For Sealing of all flanges, FPA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will use Blinds which will be extracted from Plate</w:t>
      </w:r>
      <w:r w:rsidR="000D1B23">
        <w:rPr>
          <w:rStyle w:val="fontstyle01"/>
        </w:rPr>
        <w:t xml:space="preserve"> </w:t>
      </w:r>
      <w:r w:rsidR="000D1B23" w:rsidRPr="000D1B23">
        <w:rPr>
          <w:rStyle w:val="fontstyle01"/>
          <w:i/>
          <w:iCs/>
          <w:color w:val="FF0000"/>
          <w:u w:val="single"/>
        </w:rPr>
        <w:t>(Plate thickness to be a minimum of 6 mm</w:t>
      </w:r>
      <w:r w:rsidR="000D1B23">
        <w:rPr>
          <w:rStyle w:val="fontstyle01"/>
        </w:rPr>
        <w:t>)</w:t>
      </w:r>
      <w:r w:rsidRPr="00F6573C">
        <w:rPr>
          <w:rStyle w:val="fontstyle01"/>
        </w:rPr>
        <w:t>, With</w:t>
      </w:r>
      <w:r>
        <w:rPr>
          <w:rStyle w:val="fontstyle01"/>
        </w:rPr>
        <w:t xml:space="preserve"> </w:t>
      </w:r>
      <w:r w:rsidRPr="00F6573C">
        <w:rPr>
          <w:rStyle w:val="fontstyle01"/>
        </w:rPr>
        <w:t>graphitic gaskets and suitable temporary bolt and nuts.</w:t>
      </w:r>
    </w:p>
    <w:p w14:paraId="420741F1" w14:textId="77777777" w:rsidR="00F6573C" w:rsidRDefault="00F6573C" w:rsidP="00F6573C">
      <w:pPr>
        <w:autoSpaceDE w:val="0"/>
        <w:autoSpaceDN w:val="0"/>
        <w:adjustRightInd w:val="0"/>
        <w:spacing w:line="360" w:lineRule="auto"/>
        <w:ind w:left="239"/>
        <w:jc w:val="both"/>
        <w:rPr>
          <w:rStyle w:val="fontstyle01"/>
        </w:rPr>
      </w:pPr>
    </w:p>
    <w:bookmarkEnd w:id="1"/>
    <w:p w14:paraId="73A02217" w14:textId="77777777" w:rsidR="00F6573C" w:rsidRPr="00F6573C" w:rsidRDefault="00F6573C" w:rsidP="00F6573C">
      <w:pPr>
        <w:autoSpaceDE w:val="0"/>
        <w:autoSpaceDN w:val="0"/>
        <w:adjustRightInd w:val="0"/>
        <w:spacing w:line="360" w:lineRule="auto"/>
        <w:ind w:left="239"/>
        <w:jc w:val="both"/>
        <w:rPr>
          <w:rFonts w:asciiTheme="majorBidi" w:hAnsiTheme="majorBidi" w:cstheme="majorBidi"/>
          <w:b/>
          <w:bCs/>
          <w:color w:val="000000"/>
        </w:rPr>
      </w:pPr>
    </w:p>
    <w:sectPr w:rsidR="00F6573C" w:rsidRPr="00F6573C" w:rsidSect="00F6573C">
      <w:type w:val="continuous"/>
      <w:pgSz w:w="11907" w:h="16840" w:code="9"/>
      <w:pgMar w:top="1440" w:right="1559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163" w14:textId="77777777" w:rsidR="00AA76C8" w:rsidRDefault="00AA76C8" w:rsidP="00336C68">
      <w:pPr>
        <w:spacing w:after="0" w:line="240" w:lineRule="auto"/>
      </w:pPr>
      <w:r>
        <w:separator/>
      </w:r>
    </w:p>
  </w:endnote>
  <w:endnote w:type="continuationSeparator" w:id="0">
    <w:p w14:paraId="64960F22" w14:textId="77777777" w:rsidR="00AA76C8" w:rsidRDefault="00AA76C8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BCFB3" w14:textId="77777777" w:rsidR="00AA76C8" w:rsidRDefault="00AA76C8" w:rsidP="00336C68">
      <w:pPr>
        <w:spacing w:after="0" w:line="240" w:lineRule="auto"/>
      </w:pPr>
      <w:r>
        <w:separator/>
      </w:r>
    </w:p>
  </w:footnote>
  <w:footnote w:type="continuationSeparator" w:id="0">
    <w:p w14:paraId="5C6DE99D" w14:textId="77777777" w:rsidR="00AA76C8" w:rsidRDefault="00AA76C8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Gohar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49216B9A" w:rsidR="000C6FCB" w:rsidRPr="00C60FE2" w:rsidRDefault="00194B02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63360" behindDoc="1" locked="0" layoutInCell="1" allowOverlap="1" wp14:anchorId="137341D8" wp14:editId="653B3626">
                <wp:simplePos x="0" y="0"/>
                <wp:positionH relativeFrom="column">
                  <wp:posOffset>-517525</wp:posOffset>
                </wp:positionH>
                <wp:positionV relativeFrom="paragraph">
                  <wp:posOffset>-2540</wp:posOffset>
                </wp:positionV>
                <wp:extent cx="551815" cy="373380"/>
                <wp:effectExtent l="0" t="0" r="0" b="7620"/>
                <wp:wrapTight wrapText="bothSides">
                  <wp:wrapPolygon edited="0">
                    <wp:start x="7457" y="0"/>
                    <wp:lineTo x="2237" y="13224"/>
                    <wp:lineTo x="2237" y="20939"/>
                    <wp:lineTo x="18642" y="20939"/>
                    <wp:lineTo x="19388" y="15429"/>
                    <wp:lineTo x="15659" y="5510"/>
                    <wp:lineTo x="11185" y="0"/>
                    <wp:lineTo x="7457" y="0"/>
                  </wp:wrapPolygon>
                </wp:wrapTight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373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6ED5F87" w14:textId="2C95AF62" w:rsidR="000C6FCB" w:rsidRPr="00C60FE2" w:rsidRDefault="00194B02" w:rsidP="00E71300">
          <w:pPr>
            <w:tabs>
              <w:tab w:val="left" w:pos="1490"/>
            </w:tabs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05844F0F">
                <wp:simplePos x="0" y="0"/>
                <wp:positionH relativeFrom="column">
                  <wp:posOffset>-474345</wp:posOffset>
                </wp:positionH>
                <wp:positionV relativeFrom="paragraph">
                  <wp:posOffset>304800</wp:posOffset>
                </wp:positionV>
                <wp:extent cx="502920" cy="502920"/>
                <wp:effectExtent l="0" t="0" r="0" b="0"/>
                <wp:wrapTight wrapText="bothSides">
                  <wp:wrapPolygon edited="0">
                    <wp:start x="0" y="0"/>
                    <wp:lineTo x="0" y="20455"/>
                    <wp:lineTo x="20455" y="20455"/>
                    <wp:lineTo x="20455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73857">
            <w:rPr>
              <w:noProof/>
            </w:rPr>
            <w:t xml:space="preserve"> </w:t>
          </w:r>
          <w:r w:rsidR="00873857">
            <w:rPr>
              <w:noProof/>
            </w:rPr>
            <w:drawing>
              <wp:inline distT="0" distB="0" distL="0" distR="0" wp14:anchorId="02E9F9CB" wp14:editId="433D97C2">
                <wp:extent cx="1009650" cy="423402"/>
                <wp:effectExtent l="0" t="0" r="0" b="0"/>
                <wp:docPr id="19355615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5561507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064" cy="4307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1B584D48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8E4C22" w:rsidRPr="008E4C22">
            <w:rPr>
              <w:rFonts w:ascii="Times New Roman" w:hAnsi="Times New Roman"/>
              <w:sz w:val="20"/>
              <w:szCs w:val="20"/>
            </w:rPr>
            <w:t>N2 Filling Procedure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0A3112B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E71300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09478BA9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396188" w:rsidRPr="00396188">
            <w:rPr>
              <w:rFonts w:ascii="Times New Roman" w:hAnsi="Times New Roman"/>
            </w:rPr>
            <w:t>E</w:t>
          </w:r>
          <w:r w:rsidR="00562B1C">
            <w:rPr>
              <w:rFonts w:ascii="Times New Roman" w:hAnsi="Times New Roman"/>
            </w:rPr>
            <w:t>I</w:t>
          </w:r>
          <w:r w:rsidR="00396188" w:rsidRPr="00396188">
            <w:rPr>
              <w:rFonts w:ascii="Times New Roman" w:hAnsi="Times New Roman"/>
            </w:rPr>
            <w:t>027-FPA-VD-QC-PRO-0</w:t>
          </w:r>
          <w:r w:rsidR="001D179E">
            <w:rPr>
              <w:rFonts w:ascii="Times New Roman" w:hAnsi="Times New Roman"/>
            </w:rPr>
            <w:t>10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77C09BD1" w:rsidR="000C6FCB" w:rsidRPr="00090A01" w:rsidRDefault="000C6FCB" w:rsidP="000D1B23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0D1B23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1DB33934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0D1B23">
            <w:rPr>
              <w:rFonts w:ascii="Times New Roman" w:hAnsi="Times New Roman"/>
              <w:noProof/>
              <w:sz w:val="20"/>
              <w:szCs w:val="20"/>
            </w:rPr>
            <w:t>6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8E4C22">
            <w:rPr>
              <w:noProof/>
            </w:rPr>
            <w:t>6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5F1328A5"/>
    <w:multiLevelType w:val="hybridMultilevel"/>
    <w:tmpl w:val="4586A022"/>
    <w:lvl w:ilvl="0" w:tplc="EBE69B0A">
      <w:start w:val="1"/>
      <w:numFmt w:val="decimal"/>
      <w:lvlText w:val="%1."/>
      <w:lvlJc w:val="left"/>
      <w:pPr>
        <w:ind w:left="59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6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8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8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7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6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 w:numId="46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0D57"/>
    <w:rsid w:val="00084174"/>
    <w:rsid w:val="00086A6B"/>
    <w:rsid w:val="000909C1"/>
    <w:rsid w:val="00090A01"/>
    <w:rsid w:val="00092512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1B23"/>
    <w:rsid w:val="000D6BBC"/>
    <w:rsid w:val="000D6F4D"/>
    <w:rsid w:val="000E3236"/>
    <w:rsid w:val="000F0BC0"/>
    <w:rsid w:val="000F1DB9"/>
    <w:rsid w:val="000F7B55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751C8"/>
    <w:rsid w:val="00181B81"/>
    <w:rsid w:val="00191ADF"/>
    <w:rsid w:val="0019220B"/>
    <w:rsid w:val="001930D5"/>
    <w:rsid w:val="00194B02"/>
    <w:rsid w:val="001A092E"/>
    <w:rsid w:val="001A366D"/>
    <w:rsid w:val="001B2383"/>
    <w:rsid w:val="001B4293"/>
    <w:rsid w:val="001C1061"/>
    <w:rsid w:val="001C687B"/>
    <w:rsid w:val="001D179E"/>
    <w:rsid w:val="001E49A4"/>
    <w:rsid w:val="001E4F46"/>
    <w:rsid w:val="001E5C72"/>
    <w:rsid w:val="001E6617"/>
    <w:rsid w:val="002037F3"/>
    <w:rsid w:val="00203E0B"/>
    <w:rsid w:val="0021070B"/>
    <w:rsid w:val="002122EF"/>
    <w:rsid w:val="00215AA1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551E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96188"/>
    <w:rsid w:val="003B355B"/>
    <w:rsid w:val="003C4CF2"/>
    <w:rsid w:val="003D0D47"/>
    <w:rsid w:val="003D0F39"/>
    <w:rsid w:val="003D2375"/>
    <w:rsid w:val="003D53CC"/>
    <w:rsid w:val="003D5AB9"/>
    <w:rsid w:val="003D7825"/>
    <w:rsid w:val="003E1503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709D5"/>
    <w:rsid w:val="00481DE6"/>
    <w:rsid w:val="00482371"/>
    <w:rsid w:val="00482C36"/>
    <w:rsid w:val="00482CDD"/>
    <w:rsid w:val="004851A1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F0BDD"/>
    <w:rsid w:val="004F3461"/>
    <w:rsid w:val="004F6403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2B1C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D28A2"/>
    <w:rsid w:val="005E266F"/>
    <w:rsid w:val="005E61C9"/>
    <w:rsid w:val="005E72EA"/>
    <w:rsid w:val="005F2839"/>
    <w:rsid w:val="005F2B4B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55"/>
    <w:rsid w:val="007047C7"/>
    <w:rsid w:val="00706C66"/>
    <w:rsid w:val="00712A0A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666D8"/>
    <w:rsid w:val="00774079"/>
    <w:rsid w:val="00780C21"/>
    <w:rsid w:val="00781062"/>
    <w:rsid w:val="007850B1"/>
    <w:rsid w:val="00787719"/>
    <w:rsid w:val="00796018"/>
    <w:rsid w:val="007A4585"/>
    <w:rsid w:val="007A5F27"/>
    <w:rsid w:val="007D2E7F"/>
    <w:rsid w:val="007D5A08"/>
    <w:rsid w:val="007F0C5F"/>
    <w:rsid w:val="007F6131"/>
    <w:rsid w:val="00807D2B"/>
    <w:rsid w:val="00811C78"/>
    <w:rsid w:val="008264CB"/>
    <w:rsid w:val="00835270"/>
    <w:rsid w:val="00837C91"/>
    <w:rsid w:val="00837CE6"/>
    <w:rsid w:val="0084140D"/>
    <w:rsid w:val="00852292"/>
    <w:rsid w:val="00856402"/>
    <w:rsid w:val="00860B04"/>
    <w:rsid w:val="00860EB6"/>
    <w:rsid w:val="00861C57"/>
    <w:rsid w:val="00861DDB"/>
    <w:rsid w:val="00864C24"/>
    <w:rsid w:val="00873857"/>
    <w:rsid w:val="00880D21"/>
    <w:rsid w:val="00881077"/>
    <w:rsid w:val="008823B3"/>
    <w:rsid w:val="00895550"/>
    <w:rsid w:val="008A71AB"/>
    <w:rsid w:val="008A7A3C"/>
    <w:rsid w:val="008B09E0"/>
    <w:rsid w:val="008C173C"/>
    <w:rsid w:val="008C4225"/>
    <w:rsid w:val="008D0ABB"/>
    <w:rsid w:val="008D2D2A"/>
    <w:rsid w:val="008D47CA"/>
    <w:rsid w:val="008E0C74"/>
    <w:rsid w:val="008E160A"/>
    <w:rsid w:val="008E49F0"/>
    <w:rsid w:val="008E4C22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862A4"/>
    <w:rsid w:val="00995877"/>
    <w:rsid w:val="00995963"/>
    <w:rsid w:val="00997C4D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A76C8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2689"/>
    <w:rsid w:val="00B059BB"/>
    <w:rsid w:val="00B06D22"/>
    <w:rsid w:val="00B16FE3"/>
    <w:rsid w:val="00B27760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00F5F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0D29"/>
    <w:rsid w:val="00D0441C"/>
    <w:rsid w:val="00D21F9D"/>
    <w:rsid w:val="00D26930"/>
    <w:rsid w:val="00D3142C"/>
    <w:rsid w:val="00D354D1"/>
    <w:rsid w:val="00D35EC6"/>
    <w:rsid w:val="00D43A7D"/>
    <w:rsid w:val="00D441AB"/>
    <w:rsid w:val="00D45B0A"/>
    <w:rsid w:val="00D553A1"/>
    <w:rsid w:val="00D65A30"/>
    <w:rsid w:val="00D70767"/>
    <w:rsid w:val="00D77A34"/>
    <w:rsid w:val="00D82359"/>
    <w:rsid w:val="00D838C9"/>
    <w:rsid w:val="00D83967"/>
    <w:rsid w:val="00D86A0E"/>
    <w:rsid w:val="00D92A72"/>
    <w:rsid w:val="00D958CD"/>
    <w:rsid w:val="00D96F01"/>
    <w:rsid w:val="00DA32E0"/>
    <w:rsid w:val="00DA5C28"/>
    <w:rsid w:val="00DB155D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21A6F"/>
    <w:rsid w:val="00E238E3"/>
    <w:rsid w:val="00E341E3"/>
    <w:rsid w:val="00E40DC9"/>
    <w:rsid w:val="00E452A1"/>
    <w:rsid w:val="00E46BB5"/>
    <w:rsid w:val="00E56673"/>
    <w:rsid w:val="00E6124E"/>
    <w:rsid w:val="00E71300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D2B34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62677"/>
    <w:rsid w:val="00F6573C"/>
    <w:rsid w:val="00F6599D"/>
    <w:rsid w:val="00F71CE8"/>
    <w:rsid w:val="00F73791"/>
    <w:rsid w:val="00F73B0D"/>
    <w:rsid w:val="00F8020B"/>
    <w:rsid w:val="00F96F0C"/>
    <w:rsid w:val="00F97617"/>
    <w:rsid w:val="00FA7057"/>
    <w:rsid w:val="00FB1194"/>
    <w:rsid w:val="00FB1559"/>
    <w:rsid w:val="00FB2AEA"/>
    <w:rsid w:val="00FC11FE"/>
    <w:rsid w:val="00FC2A1D"/>
    <w:rsid w:val="00FC3709"/>
    <w:rsid w:val="00FC7AEA"/>
    <w:rsid w:val="00FD14B2"/>
    <w:rsid w:val="00FD5234"/>
    <w:rsid w:val="00FE35C9"/>
    <w:rsid w:val="00FF128C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DB155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862A4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6573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6573C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6FF318-D12E-4CEF-BF58-26AACD46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808</Words>
  <Characters>3842</Characters>
  <Application>Microsoft Office Word</Application>
  <DocSecurity>0</DocSecurity>
  <Lines>1280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Ms. Abnavi</cp:lastModifiedBy>
  <cp:revision>34</cp:revision>
  <cp:lastPrinted>2024-11-02T10:55:00Z</cp:lastPrinted>
  <dcterms:created xsi:type="dcterms:W3CDTF">2024-02-05T09:13:00Z</dcterms:created>
  <dcterms:modified xsi:type="dcterms:W3CDTF">2024-11-02T10:55:00Z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767823de32d116f3aafff35a95bd3a71a3e84bdae4cd1e4e0881847c3e6f039f</vt:lpwstr>
  </property>
</Properties>
</file>